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4149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5845C1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5845C1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C830F0">
        <w:rPr>
          <w:rFonts w:ascii="Verdana" w:hAnsi="Verdana"/>
          <w:b/>
          <w:sz w:val="20"/>
          <w:szCs w:val="20"/>
          <w:lang w:val="sq-AL"/>
        </w:rPr>
        <w:t>R</w:t>
      </w:r>
      <w:r w:rsidR="00C43835">
        <w:rPr>
          <w:rFonts w:ascii="Verdana" w:hAnsi="Verdana"/>
          <w:b/>
          <w:sz w:val="20"/>
          <w:szCs w:val="20"/>
          <w:lang w:val="sq-AL"/>
        </w:rPr>
        <w:t>IT TË KËRKESAVE ANKIMORE  NR. 33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C43835">
        <w:rPr>
          <w:rFonts w:ascii="Verdana" w:hAnsi="Verdana"/>
          <w:b/>
          <w:sz w:val="20"/>
          <w:szCs w:val="20"/>
          <w:lang w:val="sq-AL"/>
        </w:rPr>
        <w:t xml:space="preserve">NR. 34, NR. 35, </w:t>
      </w:r>
      <w:r w:rsidR="00BF3E3C">
        <w:rPr>
          <w:rFonts w:ascii="Verdana" w:hAnsi="Verdana"/>
          <w:b/>
          <w:sz w:val="20"/>
          <w:szCs w:val="20"/>
          <w:lang w:val="sq-AL"/>
        </w:rPr>
        <w:t xml:space="preserve">PARAQITUR NË KQZ NË DATËN 26.06.2015 DHE </w:t>
      </w:r>
      <w:r w:rsidR="00874FAC">
        <w:rPr>
          <w:rFonts w:ascii="Verdana" w:hAnsi="Verdana"/>
          <w:b/>
          <w:sz w:val="20"/>
          <w:szCs w:val="20"/>
          <w:lang w:val="sq-AL"/>
        </w:rPr>
        <w:t>NR. 36, NR. 37, NR</w:t>
      </w:r>
      <w:r w:rsidR="00C43835">
        <w:rPr>
          <w:rFonts w:ascii="Verdana" w:hAnsi="Verdana"/>
          <w:b/>
          <w:sz w:val="20"/>
          <w:szCs w:val="20"/>
          <w:lang w:val="sq-AL"/>
        </w:rPr>
        <w:t>. 38, NR. 39, NR. 40, NR. 41, NR. 42, NR. 43, NR. 44, NR. 45</w:t>
      </w:r>
      <w:r w:rsidR="00BF3E3C">
        <w:rPr>
          <w:rFonts w:ascii="Verdana" w:hAnsi="Verdana"/>
          <w:b/>
          <w:sz w:val="20"/>
          <w:szCs w:val="20"/>
          <w:lang w:val="sq-AL"/>
        </w:rPr>
        <w:t xml:space="preserve"> PARAQITUR NË KQZ NË DATËN 27</w:t>
      </w:r>
      <w:r w:rsidR="00C830F0">
        <w:rPr>
          <w:rFonts w:ascii="Verdana" w:hAnsi="Verdana"/>
          <w:b/>
          <w:sz w:val="20"/>
          <w:szCs w:val="20"/>
          <w:lang w:val="sq-AL"/>
        </w:rPr>
        <w:t>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1A06E9">
        <w:rPr>
          <w:bCs w:val="0"/>
          <w:sz w:val="20"/>
          <w:szCs w:val="20"/>
          <w:lang w:val="sq-AL"/>
        </w:rPr>
        <w:t>e datës 29</w:t>
      </w:r>
      <w:r w:rsidR="00C830F0">
        <w:rPr>
          <w:bCs w:val="0"/>
          <w:sz w:val="20"/>
          <w:szCs w:val="20"/>
          <w:lang w:val="sq-AL"/>
        </w:rPr>
        <w:t>.06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C830F0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Caktimin e Anëtarit të KQZ-së që do të v</w:t>
      </w:r>
      <w:r w:rsidR="001A06E9">
        <w:rPr>
          <w:rFonts w:ascii="Verdana" w:hAnsi="Verdana"/>
          <w:sz w:val="20"/>
          <w:szCs w:val="20"/>
          <w:lang w:val="sq-AL"/>
        </w:rPr>
        <w:t>erifikojë dhe relatojë kërkesat</w:t>
      </w:r>
      <w:r w:rsidR="00C830F0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 xml:space="preserve">ankimore të paraqitur më datë </w:t>
      </w:r>
      <w:r w:rsidR="00C830F0">
        <w:rPr>
          <w:rFonts w:ascii="Verdana" w:hAnsi="Verdana"/>
          <w:sz w:val="20"/>
          <w:szCs w:val="20"/>
          <w:lang w:val="sq-AL"/>
        </w:rPr>
        <w:t>26.06</w:t>
      </w:r>
      <w:r w:rsidRPr="00743C64">
        <w:rPr>
          <w:rFonts w:ascii="Verdana" w:hAnsi="Verdana"/>
          <w:sz w:val="20"/>
          <w:szCs w:val="20"/>
          <w:lang w:val="sq-AL"/>
        </w:rPr>
        <w:t>.2015</w:t>
      </w:r>
      <w:r w:rsidR="001A06E9">
        <w:rPr>
          <w:rFonts w:ascii="Verdana" w:hAnsi="Verdana"/>
          <w:sz w:val="20"/>
          <w:szCs w:val="20"/>
          <w:lang w:val="sq-AL"/>
        </w:rPr>
        <w:t xml:space="preserve"> dhe 27.06.2015.</w:t>
      </w:r>
    </w:p>
    <w:p w:rsidR="00743C64" w:rsidRPr="00743C64" w:rsidRDefault="00743C64" w:rsidP="00C830F0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Default="001A06E9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>
        <w:rPr>
          <w:rFonts w:ascii="Verdana" w:hAnsi="Verdana"/>
          <w:sz w:val="20"/>
          <w:szCs w:val="20"/>
          <w:lang w:val="sq-AL"/>
        </w:rPr>
        <w:t>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C830F0"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>me nr. 33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nr. 34, nr. 35, regjistri, të paraqitur në KQZ në datë 26.06.2015 dhe kërkesat ankimore nr. 36</w:t>
      </w:r>
      <w:r w:rsidR="00C830F0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nr. 37, nr. 38</w:t>
      </w:r>
      <w:r w:rsidR="00C830F0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 xml:space="preserve">nr. 39, nr. 40, nr. 41, nr. 42, nr.43, nr. 44, nr. 45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27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C830F0" w:rsidRDefault="00743C64" w:rsidP="00C830F0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744002">
        <w:rPr>
          <w:rFonts w:ascii="Verdana" w:hAnsi="Verdana"/>
          <w:sz w:val="20"/>
          <w:szCs w:val="20"/>
          <w:lang w:val="sq-AL"/>
        </w:rPr>
        <w:t xml:space="preserve"> 33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C830F0">
        <w:rPr>
          <w:rFonts w:ascii="Verdana" w:hAnsi="Verdana"/>
          <w:sz w:val="20"/>
          <w:szCs w:val="20"/>
          <w:lang w:val="sq-AL"/>
        </w:rPr>
        <w:t xml:space="preserve">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744002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744002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 w:rsidR="00C830F0">
        <w:rPr>
          <w:rFonts w:ascii="Verdana" w:hAnsi="Verdana"/>
          <w:sz w:val="20"/>
          <w:szCs w:val="20"/>
          <w:lang w:val="sq-AL"/>
        </w:rPr>
        <w:t>1</w:t>
      </w:r>
      <w:r>
        <w:rPr>
          <w:rFonts w:ascii="Verdana" w:hAnsi="Verdana"/>
          <w:sz w:val="20"/>
          <w:szCs w:val="20"/>
          <w:lang w:val="sq-AL"/>
        </w:rPr>
        <w:t>3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744002">
        <w:rPr>
          <w:rFonts w:ascii="Verdana" w:hAnsi="Verdana"/>
          <w:sz w:val="20"/>
          <w:szCs w:val="20"/>
          <w:lang w:val="sq-AL"/>
        </w:rPr>
        <w:t>tuar dhe e regjistruar me nr. 34</w:t>
      </w:r>
      <w:r>
        <w:rPr>
          <w:rFonts w:ascii="Verdana" w:hAnsi="Verdana"/>
          <w:sz w:val="20"/>
          <w:szCs w:val="20"/>
          <w:lang w:val="sq-AL"/>
        </w:rPr>
        <w:t>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744002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744002"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Relatimi do tё bёhet nё </w:t>
      </w:r>
      <w:r w:rsidR="00744002">
        <w:rPr>
          <w:rFonts w:ascii="Verdana" w:hAnsi="Verdana"/>
          <w:sz w:val="20"/>
          <w:szCs w:val="20"/>
          <w:lang w:val="sq-AL"/>
        </w:rPr>
        <w:t>datёn 29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744002"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744002">
        <w:rPr>
          <w:rFonts w:ascii="Verdana" w:hAnsi="Verdana"/>
          <w:sz w:val="20"/>
          <w:szCs w:val="20"/>
          <w:lang w:val="sq-AL"/>
        </w:rPr>
        <w:t>tuar dhe e regjistruar me nr. 35</w:t>
      </w:r>
      <w:r>
        <w:rPr>
          <w:rFonts w:ascii="Verdana" w:hAnsi="Verdana"/>
          <w:sz w:val="20"/>
          <w:szCs w:val="20"/>
          <w:lang w:val="sq-AL"/>
        </w:rPr>
        <w:t>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744002">
        <w:rPr>
          <w:rFonts w:ascii="Verdana" w:hAnsi="Verdana"/>
          <w:sz w:val="20"/>
          <w:szCs w:val="20"/>
          <w:lang w:val="sq-AL"/>
        </w:rPr>
        <w:t>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="00C830F0"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744002">
        <w:rPr>
          <w:rFonts w:ascii="Verdana" w:hAnsi="Verdana"/>
          <w:sz w:val="20"/>
          <w:szCs w:val="20"/>
          <w:lang w:val="sq-AL"/>
        </w:rPr>
        <w:t>tuar dhe e regjistruar me nr. 36, regj, datë 27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="00C830F0"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744002">
        <w:rPr>
          <w:rFonts w:ascii="Verdana" w:hAnsi="Verdana"/>
          <w:sz w:val="20"/>
          <w:szCs w:val="20"/>
          <w:lang w:val="sq-AL"/>
        </w:rPr>
        <w:t>tuar dhe e regjistruar me nr. 37, regj, datë 27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744002"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="00C830F0"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 xml:space="preserve">tuar dhe e </w:t>
      </w:r>
      <w:r w:rsidR="00744002">
        <w:rPr>
          <w:rFonts w:ascii="Verdana" w:hAnsi="Verdana"/>
          <w:sz w:val="20"/>
          <w:szCs w:val="20"/>
          <w:lang w:val="sq-AL"/>
        </w:rPr>
        <w:t>regjistruar me nr. 38, regj, datë 27</w:t>
      </w:r>
      <w:r>
        <w:rPr>
          <w:rFonts w:ascii="Verdana" w:hAnsi="Verdana"/>
          <w:sz w:val="20"/>
          <w:szCs w:val="20"/>
          <w:lang w:val="sq-AL"/>
        </w:rPr>
        <w:t>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382DF7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</w:t>
      </w:r>
      <w:r w:rsidR="00C830F0">
        <w:rPr>
          <w:rFonts w:ascii="Verdana" w:hAnsi="Verdana"/>
          <w:sz w:val="20"/>
          <w:szCs w:val="20"/>
          <w:lang w:val="sq-AL"/>
        </w:rPr>
        <w:t>.06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="00C830F0" w:rsidRPr="00743C64">
        <w:rPr>
          <w:rFonts w:ascii="Verdana" w:hAnsi="Verdana"/>
          <w:sz w:val="20"/>
          <w:szCs w:val="20"/>
          <w:lang w:val="sq-AL"/>
        </w:rPr>
        <w:t>:00.</w:t>
      </w: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39,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40,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41,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53729F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53729F" w:rsidRDefault="00744002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53729F" w:rsidRP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743C64" w:rsidRDefault="0053729F" w:rsidP="005372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42,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53729F" w:rsidRPr="00743C64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743C64" w:rsidRDefault="0053729F" w:rsidP="005372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lastRenderedPageBreak/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43,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53729F" w:rsidRPr="00743C64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Gëzim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Default="00744002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4002" w:rsidRPr="00743C64" w:rsidRDefault="00744002" w:rsidP="007440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 xml:space="preserve">tuar dhe e </w:t>
      </w:r>
      <w:r w:rsidR="0053729F">
        <w:rPr>
          <w:rFonts w:ascii="Verdana" w:hAnsi="Verdana"/>
          <w:sz w:val="20"/>
          <w:szCs w:val="20"/>
          <w:lang w:val="sq-AL"/>
        </w:rPr>
        <w:t>regjistruar me nr. 44</w:t>
      </w:r>
      <w:r>
        <w:rPr>
          <w:rFonts w:ascii="Verdana" w:hAnsi="Verdana"/>
          <w:sz w:val="20"/>
          <w:szCs w:val="20"/>
          <w:lang w:val="sq-AL"/>
        </w:rPr>
        <w:t>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4002" w:rsidRPr="00743C64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53729F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53729F"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4002" w:rsidRDefault="00744002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53729F" w:rsidRDefault="0053729F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Default="0053729F" w:rsidP="0074400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743C64" w:rsidRDefault="0053729F" w:rsidP="005372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45, regj, datë 27.06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53729F" w:rsidRPr="00743C64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4002" w:rsidRPr="0053729F" w:rsidRDefault="0053729F" w:rsidP="005372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29.06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P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Default="00743C64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53729F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53729F" w:rsidRPr="00C830F0" w:rsidRDefault="0053729F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307C5" w:rsidRPr="00C830F0" w:rsidRDefault="00743C64" w:rsidP="00C830F0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sectPr w:rsidR="007307C5" w:rsidRPr="00C830F0" w:rsidSect="00C830F0">
      <w:footerReference w:type="default" r:id="rId9"/>
      <w:pgSz w:w="12240" w:h="15840"/>
      <w:pgMar w:top="27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AC" w:rsidRDefault="00874FAC" w:rsidP="00743C64">
      <w:pPr>
        <w:spacing w:after="0" w:line="240" w:lineRule="auto"/>
      </w:pPr>
      <w:r>
        <w:separator/>
      </w:r>
    </w:p>
  </w:endnote>
  <w:endnote w:type="continuationSeparator" w:id="1">
    <w:p w:rsidR="00874FAC" w:rsidRDefault="00874FAC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AC" w:rsidRDefault="00785B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133350</wp:posOffset>
          </wp:positionV>
          <wp:extent cx="685800" cy="676275"/>
          <wp:effectExtent l="1905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4FAC">
      <w:t>______________________________________________________________________________</w:t>
    </w:r>
  </w:p>
  <w:p w:rsidR="00874FAC" w:rsidRPr="009D6885" w:rsidRDefault="00874FAC" w:rsidP="00785BAF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Nr. 752 I </w:t>
    </w:r>
    <w:proofErr w:type="spellStart"/>
    <w:r>
      <w:rPr>
        <w:rFonts w:ascii="Verdana" w:hAnsi="Verdana"/>
        <w:sz w:val="18"/>
        <w:szCs w:val="18"/>
      </w:rPr>
      <w:t>Vendimit</w:t>
    </w:r>
    <w:proofErr w:type="spellEnd"/>
    <w:r>
      <w:rPr>
        <w:rFonts w:ascii="Verdana" w:hAnsi="Verdana"/>
        <w:sz w:val="18"/>
        <w:szCs w:val="18"/>
      </w:rPr>
      <w:t xml:space="preserve">   Data 29.06.2015   </w:t>
    </w:r>
    <w:proofErr w:type="spellStart"/>
    <w:r>
      <w:rPr>
        <w:rFonts w:ascii="Verdana" w:hAnsi="Verdana"/>
        <w:sz w:val="18"/>
        <w:szCs w:val="18"/>
      </w:rPr>
      <w:t>Ora</w:t>
    </w:r>
    <w:proofErr w:type="spellEnd"/>
    <w:r>
      <w:rPr>
        <w:rFonts w:ascii="Verdana" w:hAnsi="Verdana"/>
        <w:sz w:val="18"/>
        <w:szCs w:val="18"/>
      </w:rPr>
      <w:t xml:space="preserve"> 10:</w:t>
    </w:r>
    <w:r w:rsidRPr="009D6885">
      <w:rPr>
        <w:rFonts w:ascii="Verdana" w:hAnsi="Verdana"/>
        <w:sz w:val="18"/>
        <w:szCs w:val="18"/>
      </w:rPr>
      <w:t xml:space="preserve">00 e </w:t>
    </w:r>
    <w:proofErr w:type="spellStart"/>
    <w:r w:rsidRPr="009D6885">
      <w:rPr>
        <w:rFonts w:ascii="Verdana" w:hAnsi="Verdana"/>
        <w:sz w:val="18"/>
        <w:szCs w:val="18"/>
      </w:rPr>
      <w:t>Vendimit</w:t>
    </w:r>
    <w:proofErr w:type="spellEnd"/>
  </w:p>
  <w:p w:rsidR="00874FAC" w:rsidRPr="009D6885" w:rsidRDefault="00874FAC">
    <w:pPr>
      <w:pStyle w:val="Footer"/>
      <w:rPr>
        <w:b/>
        <w:sz w:val="18"/>
        <w:szCs w:val="18"/>
      </w:rPr>
    </w:pPr>
  </w:p>
  <w:p w:rsidR="00874FAC" w:rsidRPr="00785BAF" w:rsidRDefault="00874FAC" w:rsidP="00785BAF">
    <w:pPr>
      <w:spacing w:line="240" w:lineRule="auto"/>
      <w:jc w:val="center"/>
      <w:rPr>
        <w:rFonts w:ascii="Verdana" w:hAnsi="Verdana"/>
        <w:sz w:val="16"/>
        <w:szCs w:val="16"/>
        <w:lang w:val="sq-AL"/>
      </w:rPr>
    </w:pPr>
    <w:r>
      <w:rPr>
        <w:rFonts w:ascii="Verdana" w:hAnsi="Verdana"/>
        <w:sz w:val="18"/>
        <w:szCs w:val="18"/>
      </w:rPr>
      <w:t xml:space="preserve">                  </w:t>
    </w:r>
    <w:proofErr w:type="spellStart"/>
    <w:r w:rsidRPr="009D6885"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rezultatin</w:t>
    </w:r>
    <w:proofErr w:type="spellEnd"/>
    <w:r w:rsidRPr="009D6885">
      <w:rPr>
        <w:rFonts w:ascii="Verdana" w:hAnsi="Verdana"/>
        <w:sz w:val="18"/>
        <w:szCs w:val="18"/>
      </w:rPr>
      <w:t xml:space="preserve"> e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shortit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caktimin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relatorit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të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>ave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9D6885">
      <w:rPr>
        <w:rFonts w:ascii="Verdana" w:hAnsi="Verdana"/>
        <w:sz w:val="18"/>
        <w:szCs w:val="18"/>
      </w:rPr>
      <w:t>ankimore</w:t>
    </w:r>
    <w:proofErr w:type="spellEnd"/>
    <w:r>
      <w:rPr>
        <w:rFonts w:ascii="Verdana" w:hAnsi="Verdana"/>
        <w:sz w:val="18"/>
        <w:szCs w:val="18"/>
      </w:rPr>
      <w:t xml:space="preserve"> </w:t>
    </w:r>
    <w:r w:rsidR="00785BAF">
      <w:rPr>
        <w:rFonts w:ascii="Verdana" w:hAnsi="Verdana"/>
        <w:sz w:val="16"/>
        <w:szCs w:val="16"/>
        <w:lang w:val="sq-AL"/>
      </w:rPr>
      <w:t>nr</w:t>
    </w:r>
    <w:r w:rsidR="00785BAF" w:rsidRPr="00785BAF">
      <w:rPr>
        <w:rFonts w:ascii="Verdana" w:hAnsi="Verdana"/>
        <w:sz w:val="16"/>
        <w:szCs w:val="16"/>
        <w:lang w:val="sq-AL"/>
      </w:rPr>
      <w:t xml:space="preserve">. </w:t>
    </w:r>
    <w:r w:rsidR="00785BAF" w:rsidRPr="00785BAF">
      <w:rPr>
        <w:rFonts w:ascii="Verdana" w:hAnsi="Verdana"/>
        <w:sz w:val="16"/>
        <w:szCs w:val="16"/>
        <w:lang w:val="sq-AL"/>
      </w:rPr>
      <w:t xml:space="preserve">33, </w:t>
    </w:r>
    <w:r w:rsidR="00785BAF">
      <w:rPr>
        <w:rFonts w:ascii="Verdana" w:hAnsi="Verdana"/>
        <w:sz w:val="16"/>
        <w:szCs w:val="16"/>
        <w:lang w:val="sq-AL"/>
      </w:rPr>
      <w:t>nr. 34, nr</w:t>
    </w:r>
    <w:r w:rsidR="00785BAF" w:rsidRPr="00785BAF">
      <w:rPr>
        <w:rFonts w:ascii="Verdana" w:hAnsi="Verdana"/>
        <w:sz w:val="16"/>
        <w:szCs w:val="16"/>
        <w:lang w:val="sq-AL"/>
      </w:rPr>
      <w:t xml:space="preserve">. 35, </w:t>
    </w:r>
    <w:r w:rsidR="00785BAF">
      <w:rPr>
        <w:rFonts w:ascii="Verdana" w:hAnsi="Verdana"/>
        <w:sz w:val="16"/>
        <w:szCs w:val="16"/>
        <w:lang w:val="sq-AL"/>
      </w:rPr>
      <w:t xml:space="preserve">                                        paraqitur në KQZ në datën 26.06.2015 dhe</w:t>
    </w:r>
    <w:r w:rsidR="00785BAF" w:rsidRPr="00785BAF">
      <w:rPr>
        <w:rFonts w:ascii="Verdana" w:hAnsi="Verdana"/>
        <w:sz w:val="16"/>
        <w:szCs w:val="16"/>
        <w:lang w:val="sq-AL"/>
      </w:rPr>
      <w:t xml:space="preserve"> </w:t>
    </w:r>
    <w:r w:rsidR="00785BAF">
      <w:rPr>
        <w:rFonts w:ascii="Verdana" w:hAnsi="Verdana"/>
        <w:sz w:val="16"/>
        <w:szCs w:val="16"/>
        <w:lang w:val="sq-AL"/>
      </w:rPr>
      <w:t>nr. 36, nr. 37, nr. 38, nr. 39, nr. 40, nr. 41, nr. 42, nr. 43, nr. 44, nr</w:t>
    </w:r>
    <w:r w:rsidR="00785BAF" w:rsidRPr="00785BAF">
      <w:rPr>
        <w:rFonts w:ascii="Verdana" w:hAnsi="Verdana"/>
        <w:sz w:val="16"/>
        <w:szCs w:val="16"/>
        <w:lang w:val="sq-AL"/>
      </w:rPr>
      <w:t xml:space="preserve">. 45 </w:t>
    </w:r>
    <w:r w:rsidR="00785BAF">
      <w:rPr>
        <w:rFonts w:ascii="Verdana" w:hAnsi="Verdana"/>
        <w:sz w:val="16"/>
        <w:szCs w:val="16"/>
        <w:lang w:val="sq-AL"/>
      </w:rPr>
      <w:t>paraqitur në KQZ në datën</w:t>
    </w:r>
    <w:r w:rsidR="00785BAF" w:rsidRPr="00785BAF">
      <w:rPr>
        <w:rFonts w:ascii="Verdana" w:hAnsi="Verdana"/>
        <w:sz w:val="16"/>
        <w:szCs w:val="16"/>
        <w:lang w:val="sq-AL"/>
      </w:rPr>
      <w:t xml:space="preserve"> 27.06.2015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AC" w:rsidRDefault="00874FAC" w:rsidP="00743C64">
      <w:pPr>
        <w:spacing w:after="0" w:line="240" w:lineRule="auto"/>
      </w:pPr>
      <w:r>
        <w:separator/>
      </w:r>
    </w:p>
  </w:footnote>
  <w:footnote w:type="continuationSeparator" w:id="1">
    <w:p w:rsidR="00874FAC" w:rsidRDefault="00874FAC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A06E9"/>
    <w:rsid w:val="001C0480"/>
    <w:rsid w:val="001C1CF7"/>
    <w:rsid w:val="002A566D"/>
    <w:rsid w:val="00382DF7"/>
    <w:rsid w:val="00397CD7"/>
    <w:rsid w:val="003A453D"/>
    <w:rsid w:val="003C212E"/>
    <w:rsid w:val="004D2E05"/>
    <w:rsid w:val="004D3B8C"/>
    <w:rsid w:val="005030C9"/>
    <w:rsid w:val="0053729F"/>
    <w:rsid w:val="005845C1"/>
    <w:rsid w:val="005B0A53"/>
    <w:rsid w:val="005E161C"/>
    <w:rsid w:val="006043BC"/>
    <w:rsid w:val="00624A7E"/>
    <w:rsid w:val="006B6EF5"/>
    <w:rsid w:val="007307C5"/>
    <w:rsid w:val="00743C64"/>
    <w:rsid w:val="00744002"/>
    <w:rsid w:val="00785BAF"/>
    <w:rsid w:val="007F6C9C"/>
    <w:rsid w:val="00874FAC"/>
    <w:rsid w:val="008E07BD"/>
    <w:rsid w:val="00942AB8"/>
    <w:rsid w:val="00972EEB"/>
    <w:rsid w:val="00993153"/>
    <w:rsid w:val="00BF3E3C"/>
    <w:rsid w:val="00C43835"/>
    <w:rsid w:val="00C54D82"/>
    <w:rsid w:val="00C830F0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2015-05-14T14:21:00Z</cp:lastPrinted>
  <dcterms:created xsi:type="dcterms:W3CDTF">2015-05-12T09:48:00Z</dcterms:created>
  <dcterms:modified xsi:type="dcterms:W3CDTF">2015-06-29T12:43:00Z</dcterms:modified>
</cp:coreProperties>
</file>