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890598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AB509F" w:rsidP="00B82992">
      <w:pPr>
        <w:jc w:val="center"/>
        <w:rPr>
          <w:b/>
          <w:sz w:val="20"/>
          <w:szCs w:val="20"/>
          <w:lang w:val="sq-AL"/>
        </w:rPr>
      </w:pPr>
      <w:r w:rsidRPr="00AB509F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A6AFE">
        <w:rPr>
          <w:lang w:val="sq-AL"/>
        </w:rPr>
        <w:t>TË KËRKESËS ANKIMORE NR.8</w:t>
      </w:r>
      <w:r w:rsidR="004D7033">
        <w:rPr>
          <w:lang w:val="sq-AL"/>
        </w:rPr>
        <w:t>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A6AFE">
        <w:rPr>
          <w:bCs w:val="0"/>
          <w:sz w:val="20"/>
          <w:szCs w:val="20"/>
          <w:lang w:val="sq-AL"/>
        </w:rPr>
        <w:t>datës 09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EA6AFE">
        <w:rPr>
          <w:b/>
          <w:sz w:val="20"/>
          <w:szCs w:val="20"/>
          <w:lang w:val="sq-AL"/>
        </w:rPr>
        <w:t>Aleanca p</w:t>
      </w:r>
      <w:r w:rsidR="004D7033">
        <w:rPr>
          <w:b/>
          <w:sz w:val="20"/>
          <w:szCs w:val="20"/>
          <w:lang w:val="sq-AL"/>
        </w:rPr>
        <w:t>ë</w:t>
      </w:r>
      <w:r w:rsidR="00EA6AFE">
        <w:rPr>
          <w:b/>
          <w:sz w:val="20"/>
          <w:szCs w:val="20"/>
          <w:lang w:val="sq-AL"/>
        </w:rPr>
        <w:t>r Barazi dhe Drejt</w:t>
      </w:r>
      <w:r w:rsidR="004D7033">
        <w:rPr>
          <w:b/>
          <w:sz w:val="20"/>
          <w:szCs w:val="20"/>
          <w:lang w:val="sq-AL"/>
        </w:rPr>
        <w:t>ë</w:t>
      </w:r>
      <w:r w:rsidR="00EA6AFE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A6AFE">
        <w:rPr>
          <w:sz w:val="20"/>
          <w:szCs w:val="20"/>
          <w:lang w:val="sq-AL"/>
        </w:rPr>
        <w:t>r.8</w:t>
      </w:r>
      <w:r w:rsidR="006166E0">
        <w:rPr>
          <w:sz w:val="20"/>
          <w:szCs w:val="20"/>
          <w:lang w:val="sq-AL"/>
        </w:rPr>
        <w:t xml:space="preserve">, datë </w:t>
      </w:r>
      <w:r w:rsidR="00CD17E7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EA6AFE" w:rsidRPr="00EA6AFE">
        <w:rPr>
          <w:sz w:val="20"/>
          <w:szCs w:val="20"/>
          <w:lang w:val="sq-AL"/>
        </w:rPr>
        <w:t>Kundërshtim i Vendimit të KQZ-së Nr. 670 dt. 03.07.2013, për nxjerrjen e rezultatit të votimit për Zonën Zgjedhore, Qarku Vlorë për Zgjedhjet për Kuvendin 2013.</w:t>
      </w:r>
    </w:p>
    <w:p w:rsidR="004D7033" w:rsidRDefault="004D7033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73753A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 xml:space="preserve">si Europiane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EA6AFE">
        <w:rPr>
          <w:sz w:val="20"/>
          <w:szCs w:val="20"/>
          <w:lang w:val="sq-AL"/>
        </w:rPr>
        <w:t xml:space="preserve"> e Ankimeve Zgjedhore, me Nr. 8</w:t>
      </w:r>
      <w:r w:rsidR="006166E0">
        <w:rPr>
          <w:sz w:val="20"/>
          <w:szCs w:val="20"/>
          <w:lang w:val="sq-AL"/>
        </w:rPr>
        <w:t xml:space="preserve"> regj, datë </w:t>
      </w:r>
      <w:r w:rsidR="00EA6AFE"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EA6AFE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09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="00B82992">
        <w:rPr>
          <w:bCs/>
          <w:sz w:val="20"/>
          <w:szCs w:val="20"/>
          <w:lang w:val="sq-AL"/>
        </w:rPr>
        <w:t xml:space="preserve">.00, pas relatimit Z. </w:t>
      </w:r>
      <w:r w:rsidR="006166E0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</w:t>
      </w:r>
      <w:r w:rsidR="00942A95">
        <w:rPr>
          <w:bCs/>
          <w:sz w:val="20"/>
          <w:szCs w:val="20"/>
          <w:lang w:val="sq-AL"/>
        </w:rPr>
        <w:t>Konkretisht, nuk i është b/lidhur kërkesës ankimore të paraqitur kopja e vendimit të KQZ-së për miratimin e tabelës përmbledhëse të rezultateve,</w:t>
      </w:r>
      <w:r w:rsidR="00985494">
        <w:rPr>
          <w:bCs/>
          <w:sz w:val="20"/>
          <w:szCs w:val="20"/>
          <w:lang w:val="sq-AL"/>
        </w:rPr>
        <w:t xml:space="preserve"> p</w:t>
      </w:r>
      <w:r w:rsidR="001872CF">
        <w:rPr>
          <w:bCs/>
          <w:sz w:val="20"/>
          <w:szCs w:val="20"/>
          <w:lang w:val="sq-AL"/>
        </w:rPr>
        <w:t>ë</w:t>
      </w:r>
      <w:r w:rsidR="00985494">
        <w:rPr>
          <w:bCs/>
          <w:sz w:val="20"/>
          <w:szCs w:val="20"/>
          <w:lang w:val="sq-AL"/>
        </w:rPr>
        <w:t>r zon</w:t>
      </w:r>
      <w:r w:rsidR="001872CF">
        <w:rPr>
          <w:bCs/>
          <w:sz w:val="20"/>
          <w:szCs w:val="20"/>
          <w:lang w:val="sq-AL"/>
        </w:rPr>
        <w:t>ë</w:t>
      </w:r>
      <w:r w:rsidR="00985494">
        <w:rPr>
          <w:bCs/>
          <w:sz w:val="20"/>
          <w:szCs w:val="20"/>
          <w:lang w:val="sq-AL"/>
        </w:rPr>
        <w:t>n Zgjedhore, Qarku Vlor</w:t>
      </w:r>
      <w:r w:rsidR="001872CF">
        <w:rPr>
          <w:bCs/>
          <w:sz w:val="20"/>
          <w:szCs w:val="20"/>
          <w:lang w:val="sq-AL"/>
        </w:rPr>
        <w:t>ë</w:t>
      </w:r>
      <w:r w:rsidR="00985494">
        <w:rPr>
          <w:bCs/>
          <w:sz w:val="20"/>
          <w:szCs w:val="20"/>
          <w:lang w:val="sq-AL"/>
        </w:rPr>
        <w:t>,</w:t>
      </w:r>
      <w:r w:rsidR="00942A95">
        <w:rPr>
          <w:bCs/>
          <w:sz w:val="20"/>
          <w:szCs w:val="20"/>
          <w:lang w:val="sq-AL"/>
        </w:rPr>
        <w:t xml:space="preserve"> ndaj të cilit subjekti zgjedhor ankues ka ushtruar ankim në KQZ.</w:t>
      </w:r>
      <w:r w:rsidR="00B82992">
        <w:rPr>
          <w:bCs/>
          <w:sz w:val="20"/>
          <w:szCs w:val="20"/>
          <w:lang w:val="sq-AL"/>
        </w:rPr>
        <w:t xml:space="preserve">Në bazë të nenit 129, pika 3, gërma (c) të Kodit Zgjedhor, KQZ-ja pasi bën </w:t>
      </w:r>
      <w:r w:rsidR="00B82992">
        <w:rPr>
          <w:bCs/>
          <w:sz w:val="20"/>
          <w:szCs w:val="20"/>
          <w:lang w:val="sq-AL"/>
        </w:rPr>
        <w:lastRenderedPageBreak/>
        <w:t>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EA6AFE" w:rsidRDefault="00B82992" w:rsidP="00C47A5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A6AFE">
        <w:rPr>
          <w:sz w:val="20"/>
          <w:szCs w:val="20"/>
          <w:lang w:val="sq-AL"/>
        </w:rPr>
        <w:t>ërkesës ankimore nr.8, datë 05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24144">
        <w:rPr>
          <w:sz w:val="20"/>
          <w:szCs w:val="20"/>
          <w:lang w:val="sq-AL"/>
        </w:rPr>
        <w:t xml:space="preserve">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>,</w:t>
      </w: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4D7033" w:rsidRPr="00302E63" w:rsidRDefault="004D703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4D7033" w:rsidRPr="00302E63" w:rsidRDefault="004D703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4D703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 xml:space="preserve">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2A" w:rsidRDefault="0023542A">
      <w:r>
        <w:separator/>
      </w:r>
    </w:p>
  </w:endnote>
  <w:endnote w:type="continuationSeparator" w:id="0">
    <w:p w:rsidR="0023542A" w:rsidRDefault="0023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4D703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113030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985494">
      <w:rPr>
        <w:b/>
        <w:sz w:val="18"/>
        <w:szCs w:val="18"/>
      </w:rPr>
      <w:t>683</w:t>
    </w:r>
    <w:r w:rsidR="004D7033">
      <w:rPr>
        <w:b/>
        <w:sz w:val="18"/>
        <w:szCs w:val="18"/>
      </w:rPr>
      <w:t xml:space="preserve"> </w:t>
    </w:r>
    <w:proofErr w:type="spellStart"/>
    <w:r w:rsidR="004D7033">
      <w:rPr>
        <w:b/>
        <w:sz w:val="18"/>
        <w:szCs w:val="18"/>
      </w:rPr>
      <w:t>i</w:t>
    </w:r>
    <w:proofErr w:type="spellEnd"/>
    <w:r w:rsidR="004D7033">
      <w:rPr>
        <w:b/>
        <w:sz w:val="18"/>
        <w:szCs w:val="18"/>
      </w:rPr>
      <w:t xml:space="preserve"> </w:t>
    </w:r>
    <w:proofErr w:type="spellStart"/>
    <w:r w:rsidR="004D7033">
      <w:rPr>
        <w:b/>
        <w:sz w:val="18"/>
        <w:szCs w:val="18"/>
      </w:rPr>
      <w:t>Vendimit</w:t>
    </w:r>
    <w:proofErr w:type="spellEnd"/>
    <w:r w:rsidR="004D7033">
      <w:rPr>
        <w:b/>
        <w:sz w:val="18"/>
        <w:szCs w:val="18"/>
      </w:rPr>
      <w:tab/>
      <w:t xml:space="preserve">         Data </w:t>
    </w:r>
    <w:proofErr w:type="gramStart"/>
    <w:r w:rsidR="004D7033">
      <w:rPr>
        <w:b/>
        <w:sz w:val="18"/>
        <w:szCs w:val="18"/>
      </w:rPr>
      <w:t>09.07.2013  e</w:t>
    </w:r>
    <w:proofErr w:type="gramEnd"/>
    <w:r w:rsidR="004D7033">
      <w:rPr>
        <w:b/>
        <w:sz w:val="18"/>
        <w:szCs w:val="18"/>
      </w:rPr>
      <w:t xml:space="preserve"> </w:t>
    </w:r>
    <w:proofErr w:type="spellStart"/>
    <w:r w:rsidR="004D7033">
      <w:rPr>
        <w:b/>
        <w:sz w:val="18"/>
        <w:szCs w:val="18"/>
      </w:rPr>
      <w:t>Vendimit</w:t>
    </w:r>
    <w:proofErr w:type="spellEnd"/>
    <w:r w:rsidR="004D7033">
      <w:rPr>
        <w:b/>
        <w:sz w:val="18"/>
        <w:szCs w:val="18"/>
      </w:rPr>
      <w:t xml:space="preserve">   </w:t>
    </w:r>
    <w:proofErr w:type="spellStart"/>
    <w:r w:rsidR="004D7033">
      <w:rPr>
        <w:b/>
        <w:sz w:val="18"/>
        <w:szCs w:val="18"/>
      </w:rPr>
      <w:t>Ora</w:t>
    </w:r>
    <w:proofErr w:type="spellEnd"/>
    <w:r w:rsidR="004D7033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5A1CB0" w:rsidRDefault="004D703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</w:t>
    </w:r>
    <w:r w:rsidR="00EA6AFE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EA6AFE">
      <w:rPr>
        <w:sz w:val="16"/>
        <w:szCs w:val="16"/>
      </w:rPr>
      <w:t>të</w:t>
    </w:r>
    <w:proofErr w:type="spellEnd"/>
    <w:r w:rsidR="00EA6AFE">
      <w:rPr>
        <w:sz w:val="16"/>
        <w:szCs w:val="16"/>
      </w:rPr>
      <w:t xml:space="preserve">  </w:t>
    </w:r>
    <w:proofErr w:type="spellStart"/>
    <w:r w:rsidR="00EA6AFE">
      <w:rPr>
        <w:sz w:val="16"/>
        <w:szCs w:val="16"/>
      </w:rPr>
      <w:t>kërkesës</w:t>
    </w:r>
    <w:proofErr w:type="spellEnd"/>
    <w:proofErr w:type="gramEnd"/>
    <w:r w:rsidR="00EA6AFE">
      <w:rPr>
        <w:sz w:val="16"/>
        <w:szCs w:val="16"/>
      </w:rPr>
      <w:t xml:space="preserve"> </w:t>
    </w:r>
    <w:proofErr w:type="spellStart"/>
    <w:r w:rsidR="00EA6AFE">
      <w:rPr>
        <w:sz w:val="16"/>
        <w:szCs w:val="16"/>
      </w:rPr>
      <w:t>ankimore</w:t>
    </w:r>
    <w:proofErr w:type="spellEnd"/>
    <w:r w:rsidR="00EA6AFE">
      <w:rPr>
        <w:sz w:val="16"/>
        <w:szCs w:val="16"/>
      </w:rPr>
      <w:t xml:space="preserve"> Nr.8, </w:t>
    </w:r>
    <w:proofErr w:type="spellStart"/>
    <w:r w:rsidR="00EA6AFE">
      <w:rPr>
        <w:sz w:val="16"/>
        <w:szCs w:val="16"/>
      </w:rPr>
      <w:t>datë</w:t>
    </w:r>
    <w:proofErr w:type="spellEnd"/>
    <w:r w:rsidR="00EA6AFE">
      <w:rPr>
        <w:sz w:val="16"/>
        <w:szCs w:val="16"/>
      </w:rPr>
      <w:t xml:space="preserve">  05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>
      <w:rPr>
        <w:sz w:val="16"/>
        <w:szCs w:val="16"/>
        <w:lang w:val="sq-AL"/>
      </w:rPr>
      <w:t>“</w:t>
    </w:r>
    <w:r w:rsidR="00100C49" w:rsidRPr="00063021">
      <w:rPr>
        <w:sz w:val="16"/>
        <w:szCs w:val="16"/>
        <w:lang w:val="sq-AL"/>
      </w:rPr>
      <w:t xml:space="preserve">Partia </w:t>
    </w:r>
    <w:proofErr w:type="spellStart"/>
    <w:r w:rsidR="00EA6AFE">
      <w:rPr>
        <w:sz w:val="16"/>
        <w:szCs w:val="16"/>
      </w:rPr>
      <w:t>Aleanca</w:t>
    </w:r>
    <w:proofErr w:type="spellEnd"/>
    <w:r w:rsidR="00EA6AFE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</w:t>
    </w:r>
    <w:r w:rsidR="005C64FE">
      <w:rPr>
        <w:sz w:val="16"/>
        <w:szCs w:val="16"/>
      </w:rPr>
      <w:t>ë</w:t>
    </w:r>
    <w:r>
      <w:rPr>
        <w:sz w:val="16"/>
        <w:szCs w:val="16"/>
      </w:rPr>
      <w:t>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Barazi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Drejt</w:t>
    </w:r>
    <w:r w:rsidR="005C64FE">
      <w:rPr>
        <w:sz w:val="16"/>
        <w:szCs w:val="16"/>
      </w:rPr>
      <w:t>ë</w:t>
    </w:r>
    <w:r>
      <w:rPr>
        <w:sz w:val="16"/>
        <w:szCs w:val="16"/>
      </w:rPr>
      <w:t>si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Europiane</w:t>
    </w:r>
    <w:proofErr w:type="spellEnd"/>
    <w:r w:rsidR="005A1CB0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2A" w:rsidRDefault="0023542A">
      <w:r>
        <w:separator/>
      </w:r>
    </w:p>
  </w:footnote>
  <w:footnote w:type="continuationSeparator" w:id="0">
    <w:p w:rsidR="0023542A" w:rsidRDefault="00235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21999"/>
    <w:rsid w:val="00042C9D"/>
    <w:rsid w:val="00063021"/>
    <w:rsid w:val="00090AE4"/>
    <w:rsid w:val="00100C49"/>
    <w:rsid w:val="001872CF"/>
    <w:rsid w:val="0023542A"/>
    <w:rsid w:val="003A4B0C"/>
    <w:rsid w:val="003E6E9C"/>
    <w:rsid w:val="00424144"/>
    <w:rsid w:val="00463086"/>
    <w:rsid w:val="00474749"/>
    <w:rsid w:val="004C4041"/>
    <w:rsid w:val="004D6DB9"/>
    <w:rsid w:val="004D7033"/>
    <w:rsid w:val="00514F5D"/>
    <w:rsid w:val="00542EB0"/>
    <w:rsid w:val="005A1CB0"/>
    <w:rsid w:val="005C64FE"/>
    <w:rsid w:val="005F01A0"/>
    <w:rsid w:val="006166E0"/>
    <w:rsid w:val="00627EB8"/>
    <w:rsid w:val="006D409A"/>
    <w:rsid w:val="006F781D"/>
    <w:rsid w:val="0073753A"/>
    <w:rsid w:val="00766355"/>
    <w:rsid w:val="008125F8"/>
    <w:rsid w:val="00876D7B"/>
    <w:rsid w:val="008B7274"/>
    <w:rsid w:val="00942544"/>
    <w:rsid w:val="00942A95"/>
    <w:rsid w:val="0096745E"/>
    <w:rsid w:val="00985494"/>
    <w:rsid w:val="009939F8"/>
    <w:rsid w:val="0099453D"/>
    <w:rsid w:val="00AB0B15"/>
    <w:rsid w:val="00AB509F"/>
    <w:rsid w:val="00B03DD0"/>
    <w:rsid w:val="00B82992"/>
    <w:rsid w:val="00C26CF6"/>
    <w:rsid w:val="00C47A5F"/>
    <w:rsid w:val="00CD17E7"/>
    <w:rsid w:val="00D1612A"/>
    <w:rsid w:val="00D82434"/>
    <w:rsid w:val="00DB71CD"/>
    <w:rsid w:val="00EA6AFE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12</cp:revision>
  <cp:lastPrinted>2013-07-04T10:48:00Z</cp:lastPrinted>
  <dcterms:created xsi:type="dcterms:W3CDTF">2013-07-04T10:24:00Z</dcterms:created>
  <dcterms:modified xsi:type="dcterms:W3CDTF">2013-07-09T13:57:00Z</dcterms:modified>
</cp:coreProperties>
</file>