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420741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8B7274" w:rsidP="00B82992">
      <w:pPr>
        <w:jc w:val="center"/>
        <w:rPr>
          <w:b/>
          <w:sz w:val="20"/>
          <w:szCs w:val="20"/>
          <w:lang w:val="sq-AL"/>
        </w:rPr>
      </w:pPr>
      <w:r w:rsidRPr="008B7274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Pr="00492A96">
        <w:rPr>
          <w:lang w:val="sq-AL"/>
        </w:rPr>
        <w:t>TË KËRKESËS ANKIMORE NR.5, PARAQITUR NË KQZ NË DATËN 04.07.2013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>
        <w:rPr>
          <w:bCs w:val="0"/>
          <w:sz w:val="20"/>
          <w:szCs w:val="20"/>
          <w:lang w:val="sq-AL"/>
        </w:rPr>
        <w:t>datës 04.07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Partia L</w:t>
      </w:r>
      <w:r w:rsidR="00AB0B15">
        <w:rPr>
          <w:b/>
          <w:sz w:val="20"/>
          <w:szCs w:val="20"/>
          <w:lang w:val="sq-AL"/>
        </w:rPr>
        <w:t>ë</w:t>
      </w:r>
      <w:r w:rsidR="003E6E9C">
        <w:rPr>
          <w:b/>
          <w:sz w:val="20"/>
          <w:szCs w:val="20"/>
          <w:lang w:val="sq-AL"/>
        </w:rPr>
        <w:t>vizja p</w:t>
      </w:r>
      <w:r w:rsidR="00AB0B15">
        <w:rPr>
          <w:b/>
          <w:sz w:val="20"/>
          <w:szCs w:val="20"/>
          <w:lang w:val="sq-AL"/>
        </w:rPr>
        <w:t>ë</w:t>
      </w:r>
      <w:r w:rsidR="003E6E9C">
        <w:rPr>
          <w:b/>
          <w:sz w:val="20"/>
          <w:szCs w:val="20"/>
          <w:lang w:val="sq-AL"/>
        </w:rPr>
        <w:t>r Zhvillim Komb</w:t>
      </w:r>
      <w:r w:rsidR="00AB0B15">
        <w:rPr>
          <w:b/>
          <w:sz w:val="20"/>
          <w:szCs w:val="20"/>
          <w:lang w:val="sq-AL"/>
        </w:rPr>
        <w:t>ë</w:t>
      </w:r>
      <w:r w:rsidR="003E6E9C">
        <w:rPr>
          <w:b/>
          <w:sz w:val="20"/>
          <w:szCs w:val="20"/>
          <w:lang w:val="sq-AL"/>
        </w:rPr>
        <w:t>tar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3E6E9C">
        <w:rPr>
          <w:sz w:val="20"/>
          <w:szCs w:val="20"/>
          <w:lang w:val="sq-AL"/>
        </w:rPr>
        <w:t>r.5</w:t>
      </w:r>
      <w:r w:rsidR="006166E0">
        <w:rPr>
          <w:sz w:val="20"/>
          <w:szCs w:val="20"/>
          <w:lang w:val="sq-AL"/>
        </w:rPr>
        <w:t xml:space="preserve">, datë </w:t>
      </w:r>
      <w:r w:rsidR="003E6E9C">
        <w:rPr>
          <w:sz w:val="20"/>
          <w:szCs w:val="20"/>
          <w:lang w:val="sq-AL"/>
        </w:rPr>
        <w:t>04.07.2013</w:t>
      </w:r>
      <w:r>
        <w:rPr>
          <w:sz w:val="20"/>
          <w:szCs w:val="20"/>
          <w:lang w:val="sq-AL"/>
        </w:rPr>
        <w:t xml:space="preserve">, të paraqitur nga Partia </w:t>
      </w:r>
      <w:r w:rsidR="003E6E9C">
        <w:rPr>
          <w:sz w:val="20"/>
          <w:szCs w:val="20"/>
          <w:lang w:val="sq-AL"/>
        </w:rPr>
        <w:t>L</w:t>
      </w:r>
      <w:r w:rsidR="00AB0B15">
        <w:rPr>
          <w:sz w:val="20"/>
          <w:szCs w:val="20"/>
          <w:lang w:val="sq-AL"/>
        </w:rPr>
        <w:t>ë</w:t>
      </w:r>
      <w:r w:rsidR="003E6E9C">
        <w:rPr>
          <w:sz w:val="20"/>
          <w:szCs w:val="20"/>
          <w:lang w:val="sq-AL"/>
        </w:rPr>
        <w:t>vizja p</w:t>
      </w:r>
      <w:r w:rsidR="00AB0B15">
        <w:rPr>
          <w:sz w:val="20"/>
          <w:szCs w:val="20"/>
          <w:lang w:val="sq-AL"/>
        </w:rPr>
        <w:t>ë</w:t>
      </w:r>
      <w:r w:rsidR="003E6E9C">
        <w:rPr>
          <w:sz w:val="20"/>
          <w:szCs w:val="20"/>
          <w:lang w:val="sq-AL"/>
        </w:rPr>
        <w:t>r Zhvillim Komb</w:t>
      </w:r>
      <w:r w:rsidR="00AB0B15">
        <w:rPr>
          <w:sz w:val="20"/>
          <w:szCs w:val="20"/>
          <w:lang w:val="sq-AL"/>
        </w:rPr>
        <w:t>ë</w:t>
      </w:r>
      <w:r w:rsidR="003E6E9C">
        <w:rPr>
          <w:sz w:val="20"/>
          <w:szCs w:val="20"/>
          <w:lang w:val="sq-AL"/>
        </w:rPr>
        <w:t xml:space="preserve">tar me objekt, </w:t>
      </w:r>
      <w:r w:rsidR="006166E0">
        <w:rPr>
          <w:sz w:val="20"/>
          <w:szCs w:val="20"/>
          <w:lang w:val="sq-AL"/>
        </w:rPr>
        <w:t>Kund</w:t>
      </w:r>
      <w:r w:rsidR="00100C49">
        <w:rPr>
          <w:sz w:val="20"/>
          <w:szCs w:val="20"/>
          <w:lang w:val="sq-AL"/>
        </w:rPr>
        <w:t>ë</w:t>
      </w:r>
      <w:r w:rsidR="006166E0">
        <w:rPr>
          <w:sz w:val="20"/>
          <w:szCs w:val="20"/>
          <w:lang w:val="sq-AL"/>
        </w:rPr>
        <w:t xml:space="preserve">rshtimin e vendimit </w:t>
      </w:r>
      <w:r w:rsidR="003E6E9C">
        <w:rPr>
          <w:sz w:val="20"/>
          <w:szCs w:val="20"/>
          <w:lang w:val="sq-AL"/>
        </w:rPr>
        <w:t>t</w:t>
      </w:r>
      <w:r w:rsidR="00AB0B15">
        <w:rPr>
          <w:sz w:val="20"/>
          <w:szCs w:val="20"/>
          <w:lang w:val="sq-AL"/>
        </w:rPr>
        <w:t>ë</w:t>
      </w:r>
      <w:r w:rsidR="003E6E9C">
        <w:rPr>
          <w:sz w:val="20"/>
          <w:szCs w:val="20"/>
          <w:lang w:val="sq-AL"/>
        </w:rPr>
        <w:t xml:space="preserve"> KQZ-s</w:t>
      </w:r>
      <w:r w:rsidR="00AB0B15">
        <w:rPr>
          <w:sz w:val="20"/>
          <w:szCs w:val="20"/>
          <w:lang w:val="sq-AL"/>
        </w:rPr>
        <w:t>ë</w:t>
      </w:r>
      <w:r w:rsidR="003E6E9C">
        <w:rPr>
          <w:sz w:val="20"/>
          <w:szCs w:val="20"/>
          <w:lang w:val="sq-AL"/>
        </w:rPr>
        <w:t xml:space="preserve"> Nr. 670 dat</w:t>
      </w:r>
      <w:r w:rsidR="00AB0B15">
        <w:rPr>
          <w:sz w:val="20"/>
          <w:szCs w:val="20"/>
          <w:lang w:val="sq-AL"/>
        </w:rPr>
        <w:t>ë</w:t>
      </w:r>
      <w:r w:rsidR="003E6E9C">
        <w:rPr>
          <w:sz w:val="20"/>
          <w:szCs w:val="20"/>
          <w:lang w:val="sq-AL"/>
        </w:rPr>
        <w:t xml:space="preserve"> 03.07.2013, “P</w:t>
      </w:r>
      <w:r w:rsidR="00AB0B15">
        <w:rPr>
          <w:sz w:val="20"/>
          <w:szCs w:val="20"/>
          <w:lang w:val="sq-AL"/>
        </w:rPr>
        <w:t>ë</w:t>
      </w:r>
      <w:r w:rsidR="003E6E9C">
        <w:rPr>
          <w:sz w:val="20"/>
          <w:szCs w:val="20"/>
          <w:lang w:val="sq-AL"/>
        </w:rPr>
        <w:t>r  njerrjen e rezultatit t</w:t>
      </w:r>
      <w:r w:rsidR="00AB0B15">
        <w:rPr>
          <w:sz w:val="20"/>
          <w:szCs w:val="20"/>
          <w:lang w:val="sq-AL"/>
        </w:rPr>
        <w:t>ë</w:t>
      </w:r>
      <w:r w:rsidR="003E6E9C">
        <w:rPr>
          <w:sz w:val="20"/>
          <w:szCs w:val="20"/>
          <w:lang w:val="sq-AL"/>
        </w:rPr>
        <w:t xml:space="preserve"> votimit p</w:t>
      </w:r>
      <w:r w:rsidR="00AB0B15">
        <w:rPr>
          <w:sz w:val="20"/>
          <w:szCs w:val="20"/>
          <w:lang w:val="sq-AL"/>
        </w:rPr>
        <w:t>ë</w:t>
      </w:r>
      <w:r w:rsidR="003E6E9C">
        <w:rPr>
          <w:sz w:val="20"/>
          <w:szCs w:val="20"/>
          <w:lang w:val="sq-AL"/>
        </w:rPr>
        <w:t>r Zona Zgjedhore, Qarku Vlor</w:t>
      </w:r>
      <w:r w:rsidR="00AB0B15">
        <w:rPr>
          <w:sz w:val="20"/>
          <w:szCs w:val="20"/>
          <w:lang w:val="sq-AL"/>
        </w:rPr>
        <w:t>ë</w:t>
      </w:r>
      <w:r w:rsidR="003E6E9C">
        <w:rPr>
          <w:sz w:val="20"/>
          <w:szCs w:val="20"/>
          <w:lang w:val="sq-AL"/>
        </w:rPr>
        <w:t>”.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73753A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Partia L</w:t>
      </w:r>
      <w:r w:rsidR="00AB0B15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vizja p</w:t>
      </w:r>
      <w:r w:rsidR="00AB0B15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Zhvillim Komb</w:t>
      </w:r>
      <w:r w:rsidR="00AB0B15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tar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AB0B15">
        <w:rPr>
          <w:sz w:val="20"/>
          <w:szCs w:val="20"/>
          <w:lang w:val="sq-AL"/>
        </w:rPr>
        <w:t xml:space="preserve"> e Ankimeve Zgjedhore, me Nr. 5</w:t>
      </w:r>
      <w:r w:rsidR="006166E0">
        <w:rPr>
          <w:sz w:val="20"/>
          <w:szCs w:val="20"/>
          <w:lang w:val="sq-AL"/>
        </w:rPr>
        <w:t xml:space="preserve"> regj, datë </w:t>
      </w:r>
      <w:r w:rsidR="00AB0B15">
        <w:rPr>
          <w:sz w:val="20"/>
          <w:szCs w:val="20"/>
          <w:lang w:val="sq-AL"/>
        </w:rPr>
        <w:t>04.07.2013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463086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04.07.2013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5A1CB0">
        <w:rPr>
          <w:bCs/>
          <w:sz w:val="20"/>
          <w:szCs w:val="20"/>
          <w:lang w:val="sq-AL"/>
        </w:rPr>
        <w:t>11</w:t>
      </w:r>
      <w:r w:rsidR="00B82992">
        <w:rPr>
          <w:bCs/>
          <w:sz w:val="20"/>
          <w:szCs w:val="20"/>
          <w:lang w:val="sq-AL"/>
        </w:rPr>
        <w:t xml:space="preserve">.00, pas relatimit Z. </w:t>
      </w:r>
      <w:r w:rsidR="006166E0">
        <w:rPr>
          <w:bCs/>
          <w:sz w:val="20"/>
          <w:szCs w:val="20"/>
          <w:lang w:val="sq-AL"/>
        </w:rPr>
        <w:t>Hysen Osmanaj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b/lidhur kërkesës ankimore të paraqitur nuk është depozituar vendimi </w:t>
      </w:r>
      <w:r w:rsidR="00063021">
        <w:rPr>
          <w:bCs/>
          <w:sz w:val="20"/>
          <w:szCs w:val="20"/>
          <w:lang w:val="sq-AL"/>
        </w:rPr>
        <w:t>i KZAZ për miratimin e tabelës përmbledhëse, dhe as tabela përmbledhëse e rezultateve,</w:t>
      </w:r>
      <w:r w:rsidR="00B82992">
        <w:rPr>
          <w:bCs/>
          <w:sz w:val="20"/>
          <w:szCs w:val="20"/>
          <w:lang w:val="sq-AL"/>
        </w:rPr>
        <w:t>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9939F8">
        <w:rPr>
          <w:sz w:val="20"/>
          <w:szCs w:val="20"/>
          <w:lang w:val="sq-AL"/>
        </w:rPr>
        <w:t>ërkesës ankimore nr.5, datë 04.07.2013</w:t>
      </w:r>
      <w:r>
        <w:rPr>
          <w:sz w:val="20"/>
          <w:szCs w:val="20"/>
          <w:lang w:val="sq-AL"/>
        </w:rPr>
        <w:t xml:space="preserve">,  të paraqitur nga </w:t>
      </w:r>
      <w:r w:rsidR="00424144">
        <w:rPr>
          <w:sz w:val="20"/>
          <w:szCs w:val="20"/>
          <w:lang w:val="sq-AL"/>
        </w:rPr>
        <w:t>Partia Lëvizja për Zhvillim Kombëtar</w:t>
      </w:r>
      <w:r>
        <w:rPr>
          <w:sz w:val="20"/>
          <w:szCs w:val="20"/>
          <w:lang w:val="sq-AL"/>
        </w:rPr>
        <w:t xml:space="preserve">, </w:t>
      </w: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44" w:rsidRDefault="00942544">
      <w:r>
        <w:separator/>
      </w:r>
    </w:p>
  </w:endnote>
  <w:endnote w:type="continuationSeparator" w:id="1">
    <w:p w:rsidR="00942544" w:rsidRDefault="0094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100C49" w:rsidP="00B82992">
    <w:pPr>
      <w:pStyle w:val="Footer"/>
    </w:pPr>
    <w:r>
      <w:t>_____________________________________________________________</w:t>
    </w:r>
  </w:p>
  <w:p w:rsidR="00100C49" w:rsidRPr="00305233" w:rsidRDefault="00AB0B15" w:rsidP="00B82992">
    <w:pPr>
      <w:pStyle w:val="Footer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1CB0"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A1CB0">
      <w:rPr>
        <w:b/>
        <w:sz w:val="18"/>
        <w:szCs w:val="18"/>
      </w:rPr>
      <w:t>672 i Vendimit</w:t>
    </w:r>
    <w:r w:rsidR="005A1CB0">
      <w:rPr>
        <w:b/>
        <w:sz w:val="18"/>
        <w:szCs w:val="18"/>
      </w:rPr>
      <w:tab/>
      <w:t xml:space="preserve">         Data 04.07.2013  e Vendimit   Ora 11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>0  e Vendimit</w:t>
    </w:r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5A1CB0" w:rsidRDefault="00100C49" w:rsidP="00B82992">
    <w:pPr>
      <w:jc w:val="center"/>
      <w:rPr>
        <w:rFonts w:ascii="Arial" w:hAnsi="Arial" w:cs="Arial"/>
        <w:sz w:val="16"/>
        <w:szCs w:val="16"/>
        <w:lang w:eastAsia="ja-JP"/>
      </w:rPr>
    </w:pPr>
    <w:r w:rsidRPr="00063021">
      <w:rPr>
        <w:sz w:val="16"/>
        <w:szCs w:val="16"/>
      </w:rPr>
      <w:t>Për kthimin për plo</w:t>
    </w:r>
    <w:r w:rsidR="005A1CB0">
      <w:rPr>
        <w:sz w:val="16"/>
        <w:szCs w:val="16"/>
      </w:rPr>
      <w:t>tësim të  kërkesës ankimore Nr.5, datë  04.07.2013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="005A1CB0">
      <w:rPr>
        <w:sz w:val="16"/>
        <w:szCs w:val="16"/>
        <w:lang w:val="sq-AL"/>
      </w:rPr>
      <w:t>“</w:t>
    </w:r>
    <w:r w:rsidRPr="00063021">
      <w:rPr>
        <w:sz w:val="16"/>
        <w:szCs w:val="16"/>
        <w:lang w:val="sq-AL"/>
      </w:rPr>
      <w:t xml:space="preserve">Partia </w:t>
    </w:r>
    <w:r w:rsidR="005A1CB0">
      <w:rPr>
        <w:sz w:val="16"/>
        <w:szCs w:val="16"/>
      </w:rPr>
      <w:t>Lëvizja për Zhvillim Kombëtar”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44" w:rsidRDefault="00942544">
      <w:r>
        <w:separator/>
      </w:r>
    </w:p>
  </w:footnote>
  <w:footnote w:type="continuationSeparator" w:id="1">
    <w:p w:rsidR="00942544" w:rsidRDefault="00942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42C9D"/>
    <w:rsid w:val="00063021"/>
    <w:rsid w:val="00090AE4"/>
    <w:rsid w:val="00100C49"/>
    <w:rsid w:val="003A4B0C"/>
    <w:rsid w:val="003E6E9C"/>
    <w:rsid w:val="00424144"/>
    <w:rsid w:val="00463086"/>
    <w:rsid w:val="00474749"/>
    <w:rsid w:val="004D6DB9"/>
    <w:rsid w:val="00514F5D"/>
    <w:rsid w:val="00542EB0"/>
    <w:rsid w:val="005A1CB0"/>
    <w:rsid w:val="005F01A0"/>
    <w:rsid w:val="006166E0"/>
    <w:rsid w:val="006D409A"/>
    <w:rsid w:val="006F781D"/>
    <w:rsid w:val="0073753A"/>
    <w:rsid w:val="00766355"/>
    <w:rsid w:val="008125F8"/>
    <w:rsid w:val="00876D7B"/>
    <w:rsid w:val="008B7274"/>
    <w:rsid w:val="00942544"/>
    <w:rsid w:val="0096745E"/>
    <w:rsid w:val="009939F8"/>
    <w:rsid w:val="0099453D"/>
    <w:rsid w:val="00AB0B15"/>
    <w:rsid w:val="00B03DD0"/>
    <w:rsid w:val="00B82992"/>
    <w:rsid w:val="00C47A5F"/>
    <w:rsid w:val="00D82434"/>
    <w:rsid w:val="00FA3290"/>
    <w:rsid w:val="00FB6D4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Administrator</cp:lastModifiedBy>
  <cp:revision>6</cp:revision>
  <cp:lastPrinted>2013-07-04T10:48:00Z</cp:lastPrinted>
  <dcterms:created xsi:type="dcterms:W3CDTF">2013-07-04T10:24:00Z</dcterms:created>
  <dcterms:modified xsi:type="dcterms:W3CDTF">2013-07-04T12:26:00Z</dcterms:modified>
</cp:coreProperties>
</file>